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7B8E" w14:textId="5981A5A8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F10CA21" w14:textId="7FC68E5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2274221" w14:textId="55F669CC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720ECCA" w14:textId="206FD676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528E483" w14:textId="5A969A79" w:rsid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4958AEA2" w14:textId="6ABB868A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E4C1583" w14:textId="27E21D68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88ED7F4" w14:textId="77777777" w:rsidR="003F5228" w:rsidRPr="00B84BF4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7285CF9" w14:textId="77777777" w:rsidR="00AF3D4F" w:rsidRDefault="00AF3D4F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3D305EA3" w14:textId="77777777" w:rsidR="005613A2" w:rsidRDefault="005613A2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616CB04D" w14:textId="77777777" w:rsidR="005613A2" w:rsidRDefault="005613A2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4E8E95D6" w14:textId="77777777" w:rsidR="0069306B" w:rsidRPr="00B84BF4" w:rsidRDefault="0069306B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24F85CC6" w14:textId="6921F5F4" w:rsidR="00B84BF4" w:rsidRPr="00B84BF4" w:rsidRDefault="00B84BF4" w:rsidP="00B84BF4">
      <w:pPr>
        <w:spacing w:after="0" w:line="240" w:lineRule="auto"/>
        <w:ind w:left="2124" w:firstLine="708"/>
        <w:jc w:val="left"/>
        <w:rPr>
          <w:rFonts w:ascii="Book Antiqua" w:eastAsia="Times New Roman" w:hAnsi="Book Antiqua" w:cs="Arial"/>
          <w:b/>
          <w:lang w:eastAsia="pl-PL"/>
        </w:rPr>
      </w:pPr>
      <w:r w:rsidRPr="00B84BF4">
        <w:rPr>
          <w:rFonts w:ascii="Book Antiqua" w:eastAsia="Times New Roman" w:hAnsi="Book Antiqua" w:cs="Arial"/>
          <w:lang w:eastAsia="pl-PL"/>
        </w:rPr>
        <w:t xml:space="preserve">                    </w:t>
      </w:r>
      <w:r w:rsidR="005613A2">
        <w:rPr>
          <w:rFonts w:ascii="Book Antiqua" w:eastAsia="Times New Roman" w:hAnsi="Book Antiqua" w:cs="Arial"/>
          <w:lang w:eastAsia="pl-PL"/>
        </w:rPr>
        <w:t xml:space="preserve"> </w:t>
      </w:r>
      <w:r w:rsidRPr="00B84BF4">
        <w:rPr>
          <w:rFonts w:ascii="Book Antiqua" w:eastAsia="Times New Roman" w:hAnsi="Book Antiqua" w:cs="Arial"/>
          <w:b/>
          <w:lang w:eastAsia="pl-PL"/>
        </w:rPr>
        <w:t>DEKRET</w:t>
      </w:r>
    </w:p>
    <w:p w14:paraId="670BCD94" w14:textId="7777777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FE18B69" w14:textId="4944A2AF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Wierni Kościoła katolickiego, czyniąc pokutę, we wszystkie piątki całego roku zachowują wstrzemięźliwość od spożywania pokarmów mięsnych (kan. 1250-1251 Kodeksu Prawa Kanonicznego). Mając jednak na uwadze dobro duchowe wiernych – zgodnie z kanonem 87 § 1 Kodeksu Prawa Kanonicznego – udzielam wszystkim wiernym Diecezji Siedleckiej oraz przebywającym na jej terenie dyspensy od obowiązku zachowania wspomnianej wstrzemięźliwości w dniu </w:t>
      </w:r>
      <w:r w:rsidR="005613A2">
        <w:rPr>
          <w:rFonts w:ascii="Book Antiqua" w:hAnsi="Book Antiqua"/>
        </w:rPr>
        <w:t>20 czerwca</w:t>
      </w:r>
      <w:r w:rsidRPr="0069306B">
        <w:rPr>
          <w:rFonts w:ascii="Book Antiqua" w:hAnsi="Book Antiqua"/>
        </w:rPr>
        <w:t xml:space="preserve"> br.</w:t>
      </w:r>
      <w:r w:rsidR="000C121B">
        <w:rPr>
          <w:rFonts w:ascii="Book Antiqua" w:hAnsi="Book Antiqua"/>
        </w:rPr>
        <w:t>,</w:t>
      </w:r>
      <w:r w:rsidRPr="0069306B">
        <w:rPr>
          <w:rFonts w:ascii="Book Antiqua" w:hAnsi="Book Antiqua"/>
        </w:rPr>
        <w:t xml:space="preserve"> czyli</w:t>
      </w:r>
      <w:r>
        <w:rPr>
          <w:rFonts w:ascii="Book Antiqua" w:hAnsi="Book Antiqua"/>
        </w:rPr>
        <w:br/>
      </w:r>
      <w:r w:rsidRPr="0069306B">
        <w:rPr>
          <w:rFonts w:ascii="Book Antiqua" w:hAnsi="Book Antiqua"/>
        </w:rPr>
        <w:t>w piątek po Uroczystości Najświętszego Ciała i Krwi Chrystusa.</w:t>
      </w:r>
    </w:p>
    <w:p w14:paraId="413C333F" w14:textId="77777777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>Osoby, które dobrowolnie pragną skorzystać z dyspensy, zobowiązuję, aby tego dnia ofiarowali dowolną modlitwę według intencji Ojca Świętego lub zastąpili wstrzemięźliwość innymi formami pokuty, zwłaszcza uczynkami miłości i pobożności (statut 546 II Synodu Diecezji Siedleckiej).</w:t>
      </w:r>
    </w:p>
    <w:p w14:paraId="3B55B8EA" w14:textId="36A3B3F9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>Z pasterskim błogosławieństwem</w:t>
      </w:r>
    </w:p>
    <w:p w14:paraId="16C61E14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="Book Antiqua" w:hAnsi="Book Antiqua"/>
          <w:b/>
          <w:bCs/>
        </w:rPr>
      </w:pPr>
    </w:p>
    <w:p w14:paraId="60B4D3FC" w14:textId="60BF67AE" w:rsidR="0069306B" w:rsidRDefault="006F5B46" w:rsidP="0069306B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="Book Antiqua" w:hAnsi="Book Antiqua"/>
          <w:b/>
          <w:bCs/>
        </w:rPr>
      </w:pP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  <w:t xml:space="preserve">    </w:t>
      </w:r>
      <w:r w:rsidR="005613A2">
        <w:rPr>
          <w:rStyle w:val="Uwydatnienie"/>
          <w:rFonts w:ascii="Book Antiqua" w:hAnsi="Book Antiqua"/>
          <w:b/>
          <w:bCs/>
        </w:rPr>
        <w:t>+ Kazimierz Gurda</w:t>
      </w:r>
    </w:p>
    <w:p w14:paraId="4411B992" w14:textId="6FD8BB34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ind w:left="5664" w:firstLine="708"/>
        <w:jc w:val="center"/>
        <w:rPr>
          <w:rFonts w:ascii="Book Antiqua" w:hAnsi="Book Antiqua"/>
        </w:rPr>
      </w:pPr>
      <w:r>
        <w:rPr>
          <w:rStyle w:val="Pogrubienie"/>
          <w:rFonts w:ascii="Book Antiqua" w:hAnsi="Book Antiqua"/>
        </w:rPr>
        <w:t>Biskup Siedlecki</w:t>
      </w:r>
    </w:p>
    <w:p w14:paraId="5D2E5E48" w14:textId="1BE9FEED" w:rsidR="006F5B46" w:rsidRPr="006F5B46" w:rsidRDefault="006F5B46" w:rsidP="006F5B46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Book Antiqua" w:hAnsi="Book Antiqua"/>
          <w:i/>
          <w:iCs/>
        </w:rPr>
      </w:pPr>
      <w:r>
        <w:rPr>
          <w:rStyle w:val="Pogrubienie"/>
          <w:rFonts w:ascii="Book Antiqua" w:hAnsi="Book Antiqua"/>
        </w:rPr>
        <w:t xml:space="preserve">                 </w:t>
      </w:r>
      <w:r w:rsidRPr="006F5B46">
        <w:rPr>
          <w:rStyle w:val="Pogrubienie"/>
          <w:rFonts w:ascii="Book Antiqua" w:hAnsi="Book Antiqua"/>
          <w:i/>
          <w:iCs/>
        </w:rPr>
        <w:t xml:space="preserve">   </w:t>
      </w:r>
      <w:r w:rsidR="005613A2">
        <w:rPr>
          <w:rStyle w:val="Pogrubienie"/>
          <w:rFonts w:ascii="Book Antiqua" w:hAnsi="Book Antiqua"/>
          <w:i/>
          <w:iCs/>
        </w:rPr>
        <w:t>Ks. Jan Babik</w:t>
      </w:r>
    </w:p>
    <w:p w14:paraId="2BED47AA" w14:textId="072979B2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ind w:left="708" w:firstLine="708"/>
        <w:rPr>
          <w:rFonts w:ascii="Book Antiqua" w:hAnsi="Book Antiqua"/>
        </w:rPr>
      </w:pPr>
      <w:r w:rsidRPr="0069306B">
        <w:rPr>
          <w:rStyle w:val="Pogrubienie"/>
          <w:rFonts w:ascii="Book Antiqua" w:hAnsi="Book Antiqua"/>
        </w:rPr>
        <w:t>Kanclerz</w:t>
      </w:r>
    </w:p>
    <w:p w14:paraId="48E3051F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> </w:t>
      </w:r>
    </w:p>
    <w:p w14:paraId="28177EA1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49446660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21C00015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0BC85B77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1CAC4C5A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73E5BEF9" w14:textId="77777777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48485139" w14:textId="07C8AB58" w:rsidR="0069306B" w:rsidRPr="0069306B" w:rsidRDefault="0069306B" w:rsidP="0069306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L.dz. </w:t>
      </w:r>
      <w:r w:rsidR="005613A2">
        <w:rPr>
          <w:rFonts w:ascii="Book Antiqua" w:hAnsi="Book Antiqua"/>
        </w:rPr>
        <w:t>7</w:t>
      </w:r>
      <w:r w:rsidR="000C121B">
        <w:rPr>
          <w:rFonts w:ascii="Book Antiqua" w:hAnsi="Book Antiqua"/>
        </w:rPr>
        <w:t>4</w:t>
      </w:r>
      <w:r w:rsidR="005613A2">
        <w:rPr>
          <w:rFonts w:ascii="Book Antiqua" w:hAnsi="Book Antiqua"/>
        </w:rPr>
        <w:t>6</w:t>
      </w:r>
      <w:r w:rsidRPr="0069306B">
        <w:rPr>
          <w:rFonts w:ascii="Book Antiqua" w:hAnsi="Book Antiqua"/>
        </w:rPr>
        <w:t>/202</w:t>
      </w:r>
      <w:r w:rsidR="005613A2">
        <w:rPr>
          <w:rFonts w:ascii="Book Antiqua" w:hAnsi="Book Antiqua"/>
        </w:rPr>
        <w:t>5</w:t>
      </w:r>
    </w:p>
    <w:p w14:paraId="6E33A385" w14:textId="13981846" w:rsidR="00B84BF4" w:rsidRPr="0069306B" w:rsidRDefault="0069306B" w:rsidP="0069306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Siedlce, dnia </w:t>
      </w:r>
      <w:r w:rsidR="005613A2">
        <w:rPr>
          <w:rFonts w:ascii="Book Antiqua" w:hAnsi="Book Antiqua"/>
        </w:rPr>
        <w:t>6 czerwca</w:t>
      </w:r>
      <w:r w:rsidRPr="0069306B">
        <w:rPr>
          <w:rFonts w:ascii="Book Antiqua" w:hAnsi="Book Antiqua"/>
        </w:rPr>
        <w:t xml:space="preserve"> 202</w:t>
      </w:r>
      <w:r w:rsidR="005613A2">
        <w:rPr>
          <w:rFonts w:ascii="Book Antiqua" w:hAnsi="Book Antiqua"/>
        </w:rPr>
        <w:t>5</w:t>
      </w:r>
      <w:r w:rsidRPr="0069306B">
        <w:rPr>
          <w:rFonts w:ascii="Book Antiqua" w:hAnsi="Book Antiqua"/>
        </w:rPr>
        <w:t xml:space="preserve"> r.</w:t>
      </w:r>
    </w:p>
    <w:sectPr w:rsidR="00B84BF4" w:rsidRPr="0069306B" w:rsidSect="003102A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9D"/>
    <w:rsid w:val="00020AC0"/>
    <w:rsid w:val="000C121B"/>
    <w:rsid w:val="003102AB"/>
    <w:rsid w:val="003A397E"/>
    <w:rsid w:val="003F5228"/>
    <w:rsid w:val="003F6D66"/>
    <w:rsid w:val="005613A2"/>
    <w:rsid w:val="0069306B"/>
    <w:rsid w:val="006F5B46"/>
    <w:rsid w:val="0074676E"/>
    <w:rsid w:val="007741FD"/>
    <w:rsid w:val="007B5B42"/>
    <w:rsid w:val="007C0F9D"/>
    <w:rsid w:val="009101B8"/>
    <w:rsid w:val="009C0B00"/>
    <w:rsid w:val="009D5FFC"/>
    <w:rsid w:val="00A1303E"/>
    <w:rsid w:val="00AF3D4F"/>
    <w:rsid w:val="00B84BF4"/>
    <w:rsid w:val="00D04D93"/>
    <w:rsid w:val="00DB07CB"/>
    <w:rsid w:val="00E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ADA"/>
  <w15:docId w15:val="{41173569-D9B0-406D-8894-108504D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306B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69306B"/>
    <w:rPr>
      <w:b/>
      <w:bCs/>
    </w:rPr>
  </w:style>
  <w:style w:type="character" w:styleId="Uwydatnienie">
    <w:name w:val="Emphasis"/>
    <w:basedOn w:val="Domylnaczcionkaakapitu"/>
    <w:uiPriority w:val="20"/>
    <w:qFormat/>
    <w:rsid w:val="006930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Jan</cp:lastModifiedBy>
  <cp:revision>8</cp:revision>
  <cp:lastPrinted>2025-06-05T21:52:00Z</cp:lastPrinted>
  <dcterms:created xsi:type="dcterms:W3CDTF">2022-11-03T18:41:00Z</dcterms:created>
  <dcterms:modified xsi:type="dcterms:W3CDTF">2025-06-05T21:53:00Z</dcterms:modified>
</cp:coreProperties>
</file>